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12E" w:rsidRDefault="00F0212E" w:rsidP="00F0212E">
      <w:pPr>
        <w:pStyle w:val="Ttul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LEI Nº1.367, DE 15  DE DEZEMBRO DE 2015.</w:t>
      </w:r>
    </w:p>
    <w:p w:rsidR="00F0212E" w:rsidRPr="00454029" w:rsidRDefault="00F0212E" w:rsidP="00F0212E">
      <w:pPr>
        <w:pStyle w:val="Ttulo"/>
        <w:rPr>
          <w:rFonts w:ascii="Times New Roman" w:hAnsi="Times New Roman"/>
          <w:sz w:val="24"/>
          <w:szCs w:val="24"/>
        </w:rPr>
      </w:pPr>
    </w:p>
    <w:p w:rsidR="00F0212E" w:rsidRPr="00454029" w:rsidRDefault="00F0212E" w:rsidP="00F0212E">
      <w:pPr>
        <w:pStyle w:val="Ttulo"/>
        <w:rPr>
          <w:rFonts w:ascii="Times New Roman" w:hAnsi="Times New Roman"/>
          <w:sz w:val="24"/>
          <w:szCs w:val="24"/>
        </w:rPr>
      </w:pPr>
    </w:p>
    <w:p w:rsidR="00F0212E" w:rsidRPr="00454029" w:rsidRDefault="00F0212E" w:rsidP="00F0212E">
      <w:pPr>
        <w:pStyle w:val="Recuodecorpodetexto2"/>
        <w:ind w:left="3960"/>
        <w:rPr>
          <w:sz w:val="24"/>
          <w:szCs w:val="24"/>
        </w:rPr>
      </w:pPr>
      <w:r w:rsidRPr="00454029">
        <w:rPr>
          <w:sz w:val="24"/>
          <w:szCs w:val="24"/>
        </w:rPr>
        <w:t>Orça a Receita e fixa a Despesa do Município de Sertão Santana para o exercício de 2016.</w:t>
      </w:r>
    </w:p>
    <w:p w:rsidR="00F0212E" w:rsidRPr="00454029" w:rsidRDefault="00F0212E" w:rsidP="00F0212E">
      <w:pPr>
        <w:ind w:left="3969"/>
        <w:jc w:val="both"/>
        <w:rPr>
          <w:sz w:val="24"/>
          <w:szCs w:val="24"/>
        </w:rPr>
      </w:pPr>
    </w:p>
    <w:p w:rsidR="00F0212E" w:rsidRPr="00454029" w:rsidRDefault="00F0212E" w:rsidP="00F0212E">
      <w:pPr>
        <w:jc w:val="both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O Prefeito Municipal de Sertão Santana. Faço saber, que a Câmara Municipal aprova e eu sanciono, com base no artigo 64-A da Lei Orgânica Municipal, a seguinte Lei:</w:t>
      </w:r>
    </w:p>
    <w:p w:rsidR="00F0212E" w:rsidRPr="00454029" w:rsidRDefault="00F0212E" w:rsidP="00F0212E">
      <w:pPr>
        <w:jc w:val="both"/>
        <w:rPr>
          <w:sz w:val="24"/>
          <w:szCs w:val="24"/>
        </w:rPr>
      </w:pPr>
    </w:p>
    <w:p w:rsidR="00F0212E" w:rsidRPr="00454029" w:rsidRDefault="00F0212E" w:rsidP="00F0212E">
      <w:pPr>
        <w:tabs>
          <w:tab w:val="left" w:pos="851"/>
        </w:tabs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   Art. 1º A receita para o exercício de 2016 é orçada em R$19.340.000,00 (dezenove milhões, trezentos e quarenta mil reais), e será arrecadada de conformidade com a legislação vigente (Anexo II), obedecendo a seguinte classificação geral:</w:t>
      </w:r>
    </w:p>
    <w:p w:rsidR="00F0212E" w:rsidRPr="00454029" w:rsidRDefault="00F0212E" w:rsidP="00F0212E">
      <w:pPr>
        <w:jc w:val="both"/>
        <w:rPr>
          <w:b/>
          <w:bCs/>
          <w:snapToGrid w:val="0"/>
          <w:sz w:val="24"/>
          <w:szCs w:val="24"/>
        </w:rPr>
      </w:pPr>
    </w:p>
    <w:p w:rsidR="00F0212E" w:rsidRPr="00454029" w:rsidRDefault="00F0212E" w:rsidP="00F0212E">
      <w:pPr>
        <w:jc w:val="both"/>
        <w:rPr>
          <w:b/>
          <w:bCs/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7"/>
        <w:gridCol w:w="2160"/>
        <w:gridCol w:w="1800"/>
        <w:gridCol w:w="1877"/>
      </w:tblGrid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DISCRIMINAÇÃO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PREFEITURA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RPPS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TOTAL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RECEITAS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CORRENTES</w:t>
            </w:r>
          </w:p>
          <w:p w:rsidR="00F0212E" w:rsidRPr="00454029" w:rsidRDefault="00F0212E" w:rsidP="002B207F">
            <w:pPr>
              <w:spacing w:line="276" w:lineRule="auto"/>
              <w:ind w:left="2520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19.071.859,60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610.000,00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19.681.859,60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Receita Tributária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803.410,00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803.410,00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Receita de Contribuições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135.000,00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458.000,00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593.000,00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Receita Patrimonial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158.623,60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120.000,00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278.623,60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Receita de Serviços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101.670,00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101.670,00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Transferências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Correntes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17.782.606,00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17.782.606,00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Outras Receitas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Correntes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 90.550,00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32.000,00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 122.550,00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RECEITAS DE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CAPITAL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1.692.050,00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1.692.050,00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Receita de Capital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    50.100,00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 50.100,00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Transferências de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Capital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1.641.950,00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1.641.950,00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RECEITAS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IINTRAORÇAMENTÁRIAS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395.000,00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395.000,00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OUTRAS DEDUÇÕES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   3.210,00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 xml:space="preserve">      5.000,00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     8.210,00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DEDUÇÃO DA</w:t>
            </w:r>
          </w:p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RECEITA FUNDEB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 xml:space="preserve">  2.420.699,60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2.420.699,60</w:t>
            </w:r>
          </w:p>
        </w:tc>
      </w:tr>
      <w:tr w:rsidR="00F0212E" w:rsidRPr="00454029" w:rsidTr="002B207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TOTAL DA RECEITA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18.340.000,00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Cs/>
                <w:snapToGrid w:val="0"/>
                <w:sz w:val="24"/>
                <w:szCs w:val="24"/>
                <w:lang w:eastAsia="en-US"/>
              </w:rPr>
              <w:t>1.000.000,00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12E" w:rsidRPr="00454029" w:rsidRDefault="00F0212E" w:rsidP="002B207F">
            <w:pPr>
              <w:spacing w:line="276" w:lineRule="auto"/>
              <w:jc w:val="both"/>
              <w:rPr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454029">
              <w:rPr>
                <w:b/>
                <w:bCs/>
                <w:snapToGrid w:val="0"/>
                <w:sz w:val="24"/>
                <w:szCs w:val="24"/>
                <w:lang w:eastAsia="en-US"/>
              </w:rPr>
              <w:t>19.340.000,00</w:t>
            </w:r>
          </w:p>
        </w:tc>
      </w:tr>
    </w:tbl>
    <w:p w:rsidR="00F0212E" w:rsidRPr="00454029" w:rsidRDefault="00F0212E" w:rsidP="00F0212E">
      <w:pPr>
        <w:jc w:val="both"/>
        <w:rPr>
          <w:b/>
          <w:bCs/>
          <w:snapToGrid w:val="0"/>
          <w:sz w:val="24"/>
          <w:szCs w:val="24"/>
        </w:rPr>
      </w:pPr>
      <w:r w:rsidRPr="00454029">
        <w:rPr>
          <w:b/>
          <w:bCs/>
          <w:snapToGrid w:val="0"/>
          <w:sz w:val="24"/>
          <w:szCs w:val="24"/>
        </w:rPr>
        <w:t xml:space="preserve">  </w:t>
      </w: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   Art. 2º A despesa para o exercício de 2016 é orçada em R$19.340.000,00 (dezenove milhões, trezentos e quarenta mil reais) e será realizada de conformidade com as especificações constantes nos Anexos previstos nos §§ 1º e 2º deste artigo.</w:t>
      </w: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lastRenderedPageBreak/>
        <w:t xml:space="preserve">              § 1º. Constituem anexos e fazem parte desta Lei:</w:t>
      </w: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Tabela da receita e da despesa do Município para 2016, 2017 e 2018, a receita realizada dos três últimos exercícios encerrados e a prevista para o ano corrente;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tabs>
          <w:tab w:val="left" w:pos="993"/>
        </w:tabs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Demonstrativo da receita corrente líquida projetada para 2016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tabs>
          <w:tab w:val="left" w:pos="993"/>
        </w:tabs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Anexos orçamentários 1, 2, 6, 7, 8 e 9 da Lei Nº 4.320, de 1964;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Demonstrativo da margem de expansão das despesas obrigatórias de caráter continuado (LRF, art. 5º, II) e Anexo de compatibilidade do orçamento com o anexo de metas fiscais (LRF, art. 5º, I):</w:t>
      </w:r>
    </w:p>
    <w:p w:rsidR="00F0212E" w:rsidRPr="00454029" w:rsidRDefault="00F0212E" w:rsidP="00F0212E">
      <w:pPr>
        <w:pStyle w:val="PargrafodaLista"/>
        <w:numPr>
          <w:ilvl w:val="0"/>
          <w:numId w:val="2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Compatibilidade com o resultado primário nominal;</w:t>
      </w:r>
    </w:p>
    <w:p w:rsidR="00F0212E" w:rsidRPr="00454029" w:rsidRDefault="00F0212E" w:rsidP="00F0212E">
      <w:pPr>
        <w:pStyle w:val="PargrafodaLista"/>
        <w:numPr>
          <w:ilvl w:val="0"/>
          <w:numId w:val="2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Memória e metodologia de cálculo do resultado primário;</w:t>
      </w:r>
    </w:p>
    <w:p w:rsidR="00F0212E" w:rsidRPr="00454029" w:rsidRDefault="00F0212E" w:rsidP="00F0212E">
      <w:pPr>
        <w:numPr>
          <w:ilvl w:val="0"/>
          <w:numId w:val="2"/>
        </w:numPr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Memória e metodologia de cálculo do resultado nominal;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Demonstrativo das aplicações nas Ações e Serviços Públicos de Saúde (ASPS);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Demonstrativo das aplicações na Manutenção e Desenvolvimento do Ensino (MDE) e FUNDEB;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Anexo do Demonstrativo da despesa com pessoal do Executivo, do Legislativo e consolidado do Município;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Anexo Demonstrativo de riscos fiscais e providências;</w:t>
      </w:r>
    </w:p>
    <w:p w:rsidR="00F0212E" w:rsidRPr="00454029" w:rsidRDefault="00F0212E" w:rsidP="00F0212E">
      <w:pPr>
        <w:pStyle w:val="PargrafodaLista"/>
        <w:numPr>
          <w:ilvl w:val="0"/>
          <w:numId w:val="1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Anexo Demonstrativo dos limites do Poder Legislativo.</w:t>
      </w:r>
    </w:p>
    <w:p w:rsidR="00F0212E" w:rsidRPr="00454029" w:rsidRDefault="00F0212E" w:rsidP="00F0212E">
      <w:pPr>
        <w:ind w:left="708"/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   § 2º. O anexo IV deste artigo atualiza os valores relativos às metas de resultados fiscais do anexo de metas fiscais de que trata a Lei de Diretrizes Orçamentárias, nos termos do art. 4º, §1º da LRF.</w:t>
      </w:r>
    </w:p>
    <w:p w:rsidR="00F0212E" w:rsidRPr="00454029" w:rsidRDefault="00F0212E" w:rsidP="00F0212E">
      <w:pPr>
        <w:ind w:left="708"/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   Art. 3º Fica o Poder Executivo autorizado, de acordo com os dispostos nos artigos 7º, 42 e 43 da Lei Nº4.320/64 e no art. 165, § 8º da Constituição Federal, a:</w:t>
      </w:r>
    </w:p>
    <w:p w:rsidR="00F0212E" w:rsidRPr="00454029" w:rsidRDefault="00F0212E" w:rsidP="00F0212E">
      <w:pPr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pStyle w:val="PargrafodaLista"/>
        <w:numPr>
          <w:ilvl w:val="0"/>
          <w:numId w:val="3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abrir créditos suplementares com autorização Legislativa;</w:t>
      </w:r>
    </w:p>
    <w:p w:rsidR="00F0212E" w:rsidRPr="00454029" w:rsidRDefault="00F0212E" w:rsidP="00F0212E">
      <w:pPr>
        <w:pStyle w:val="PargrafodaLista"/>
        <w:numPr>
          <w:ilvl w:val="0"/>
          <w:numId w:val="3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realizar operações de créditos com destinação específica e vinculada ao projeto, nos termos da legislação em vigor, em especial Seção IV, Subseção I, da LC 101-2000;</w:t>
      </w:r>
    </w:p>
    <w:p w:rsidR="00F0212E" w:rsidRPr="00454029" w:rsidRDefault="00F0212E" w:rsidP="00F0212E">
      <w:pPr>
        <w:pStyle w:val="PargrafodaLista"/>
        <w:numPr>
          <w:ilvl w:val="0"/>
          <w:numId w:val="3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realizar operações de crédito por antecipação da receita orçamentária, nos limites e prazos estabelecidos pela legislação em vigor, em especial a Seção IV, Subseção III, da LC 101-2000;</w:t>
      </w:r>
    </w:p>
    <w:p w:rsidR="00F0212E" w:rsidRPr="00454029" w:rsidRDefault="00F0212E" w:rsidP="00F0212E">
      <w:pPr>
        <w:pStyle w:val="PargrafodaLista"/>
        <w:widowControl w:val="0"/>
        <w:numPr>
          <w:ilvl w:val="0"/>
          <w:numId w:val="3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>abrir crédito suplementar com saldo de recurso vinculado não utilizados no exercício passado, até o limite do saldo bancário livre;</w:t>
      </w:r>
    </w:p>
    <w:p w:rsidR="00F0212E" w:rsidRPr="00454029" w:rsidRDefault="00F0212E" w:rsidP="00F0212E">
      <w:pPr>
        <w:pStyle w:val="Corpodetexto"/>
        <w:widowControl/>
        <w:numPr>
          <w:ilvl w:val="0"/>
          <w:numId w:val="3"/>
        </w:numPr>
        <w:snapToGrid w:val="0"/>
        <w:rPr>
          <w:snapToGrid/>
          <w:sz w:val="24"/>
          <w:szCs w:val="24"/>
        </w:rPr>
      </w:pPr>
      <w:r w:rsidRPr="00454029">
        <w:rPr>
          <w:sz w:val="24"/>
          <w:szCs w:val="24"/>
        </w:rPr>
        <w:t xml:space="preserve">abrir durante o exercício, créditos suplementares até o limite de </w:t>
      </w:r>
    </w:p>
    <w:p w:rsidR="00F0212E" w:rsidRPr="00454029" w:rsidRDefault="00F0212E" w:rsidP="00F0212E">
      <w:pPr>
        <w:pStyle w:val="Corpodetexto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          15% (quinze por cento) da despesa total autorizada;</w:t>
      </w:r>
    </w:p>
    <w:p w:rsidR="00F0212E" w:rsidRPr="00454029" w:rsidRDefault="00F0212E" w:rsidP="00F0212E">
      <w:pPr>
        <w:pStyle w:val="PargrafodaLista"/>
        <w:widowControl w:val="0"/>
        <w:numPr>
          <w:ilvl w:val="0"/>
          <w:numId w:val="3"/>
        </w:numPr>
        <w:contextualSpacing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abrir crédito suplementar para remanejar dotações orçamentárias no mesmo projeto ou atividade, existindo os elementos de despesa nas respectivas atividades ou projetos, até o limite da dotação.</w:t>
      </w:r>
    </w:p>
    <w:p w:rsidR="00F0212E" w:rsidRPr="00454029" w:rsidRDefault="00F0212E" w:rsidP="00F0212E">
      <w:pPr>
        <w:widowControl w:val="0"/>
        <w:ind w:left="60"/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pStyle w:val="Corpodetexto"/>
        <w:rPr>
          <w:snapToGrid/>
          <w:sz w:val="24"/>
          <w:szCs w:val="24"/>
        </w:rPr>
      </w:pPr>
      <w:r w:rsidRPr="00454029">
        <w:rPr>
          <w:sz w:val="24"/>
          <w:szCs w:val="24"/>
        </w:rPr>
        <w:t xml:space="preserve">              Art. 4º Fica o Poder Executivo autorizado a desdobrar a receita orçamentária até o nível solicitado pelo Tribunal de Contas do Estado do RS, para acompanhamento da execução </w:t>
      </w:r>
      <w:r w:rsidRPr="00454029">
        <w:rPr>
          <w:sz w:val="24"/>
          <w:szCs w:val="24"/>
        </w:rPr>
        <w:lastRenderedPageBreak/>
        <w:t>do orçamento.</w:t>
      </w:r>
    </w:p>
    <w:p w:rsidR="00F0212E" w:rsidRPr="00454029" w:rsidRDefault="00F0212E" w:rsidP="00F0212E">
      <w:pPr>
        <w:widowControl w:val="0"/>
        <w:jc w:val="both"/>
        <w:rPr>
          <w:snapToGrid w:val="0"/>
          <w:sz w:val="24"/>
          <w:szCs w:val="24"/>
        </w:rPr>
      </w:pPr>
      <w:r w:rsidRPr="00454029">
        <w:rPr>
          <w:snapToGrid w:val="0"/>
          <w:sz w:val="24"/>
          <w:szCs w:val="24"/>
        </w:rPr>
        <w:t xml:space="preserve">              Art. 5º Fica autorizado ao Poder Executivo e ao Poder Legislativo, para fins de execução orçamentária, criar, transferir valores ou extinguir desdobramentos à classificação orçamentária da despesa por elementos de despesa.</w:t>
      </w:r>
    </w:p>
    <w:p w:rsidR="00F0212E" w:rsidRPr="00454029" w:rsidRDefault="00F0212E" w:rsidP="00F0212E">
      <w:pPr>
        <w:widowControl w:val="0"/>
        <w:jc w:val="both"/>
        <w:rPr>
          <w:snapToGrid w:val="0"/>
          <w:sz w:val="24"/>
          <w:szCs w:val="24"/>
        </w:rPr>
      </w:pPr>
    </w:p>
    <w:p w:rsidR="00F0212E" w:rsidRPr="00454029" w:rsidRDefault="00F0212E" w:rsidP="00F0212E">
      <w:pPr>
        <w:spacing w:after="120"/>
        <w:jc w:val="both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Art. 6°</w:t>
      </w:r>
      <w:r w:rsidRPr="00454029">
        <w:rPr>
          <w:b/>
          <w:bCs/>
          <w:sz w:val="24"/>
          <w:szCs w:val="24"/>
        </w:rPr>
        <w:t xml:space="preserve"> </w:t>
      </w:r>
      <w:r w:rsidRPr="00454029">
        <w:rPr>
          <w:sz w:val="24"/>
          <w:szCs w:val="24"/>
        </w:rPr>
        <w:t>Fica o Poder Executivo e Legislativo, mediante Decreto e Resolução, respectivamente, autorizado a efetuar transposição, remanejamento e transferências de dotações orçamentárias.</w:t>
      </w:r>
    </w:p>
    <w:p w:rsidR="00F0212E" w:rsidRPr="00454029" w:rsidRDefault="00F0212E" w:rsidP="00F0212E">
      <w:pPr>
        <w:spacing w:after="120"/>
        <w:jc w:val="both"/>
        <w:rPr>
          <w:bCs/>
          <w:sz w:val="24"/>
          <w:szCs w:val="24"/>
        </w:rPr>
      </w:pPr>
      <w:r w:rsidRPr="00454029">
        <w:rPr>
          <w:bCs/>
          <w:sz w:val="24"/>
          <w:szCs w:val="24"/>
        </w:rPr>
        <w:t xml:space="preserve">              § 1°</w:t>
      </w:r>
      <w:r w:rsidRPr="00454029">
        <w:rPr>
          <w:b/>
          <w:sz w:val="24"/>
          <w:szCs w:val="24"/>
        </w:rPr>
        <w:t xml:space="preserve"> </w:t>
      </w:r>
      <w:r w:rsidRPr="00454029">
        <w:rPr>
          <w:bCs/>
          <w:sz w:val="24"/>
          <w:szCs w:val="24"/>
        </w:rPr>
        <w:t>A transposição, remanejamento e transferências são instrumentos de flexibilização orçamentária, diferenciando-se dos créditos adicionais.</w:t>
      </w:r>
    </w:p>
    <w:p w:rsidR="00F0212E" w:rsidRPr="00454029" w:rsidRDefault="00F0212E" w:rsidP="00F0212E">
      <w:pPr>
        <w:pStyle w:val="Recuodecorpodetexto"/>
        <w:spacing w:before="120"/>
        <w:ind w:left="0"/>
        <w:rPr>
          <w:bCs/>
          <w:iCs/>
          <w:color w:val="000000"/>
          <w:sz w:val="24"/>
          <w:szCs w:val="24"/>
        </w:rPr>
      </w:pPr>
      <w:r w:rsidRPr="00454029">
        <w:rPr>
          <w:bCs/>
          <w:iCs/>
          <w:color w:val="000000"/>
          <w:sz w:val="24"/>
          <w:szCs w:val="24"/>
        </w:rPr>
        <w:t xml:space="preserve">              § 2°</w:t>
      </w:r>
      <w:r w:rsidRPr="00454029">
        <w:rPr>
          <w:b/>
          <w:iCs/>
          <w:color w:val="000000"/>
          <w:sz w:val="24"/>
          <w:szCs w:val="24"/>
        </w:rPr>
        <w:t xml:space="preserve"> </w:t>
      </w:r>
      <w:r w:rsidRPr="00454029">
        <w:rPr>
          <w:bCs/>
          <w:iCs/>
          <w:color w:val="000000"/>
          <w:sz w:val="24"/>
          <w:szCs w:val="24"/>
        </w:rPr>
        <w:t>Para efeitos das leis orçamentárias entende-se:</w:t>
      </w:r>
    </w:p>
    <w:p w:rsidR="00F0212E" w:rsidRPr="00454029" w:rsidRDefault="00F0212E" w:rsidP="00F0212E">
      <w:pPr>
        <w:pStyle w:val="Recuodecorpodetexto"/>
        <w:spacing w:before="120"/>
        <w:ind w:left="0" w:firstLine="708"/>
        <w:rPr>
          <w:bCs/>
          <w:iCs/>
          <w:color w:val="000000"/>
          <w:sz w:val="24"/>
          <w:szCs w:val="24"/>
        </w:rPr>
      </w:pPr>
      <w:r w:rsidRPr="00454029">
        <w:rPr>
          <w:bCs/>
          <w:iCs/>
          <w:color w:val="000000"/>
          <w:sz w:val="24"/>
          <w:szCs w:val="24"/>
        </w:rPr>
        <w:t>I – Transposição – o deslocamento de excedentes de dotações orçamentárias de categorias de programação totalmente concluídas no exercício para outras incluídas como prioridade no exercício.</w:t>
      </w:r>
    </w:p>
    <w:p w:rsidR="00F0212E" w:rsidRPr="00454029" w:rsidRDefault="00F0212E" w:rsidP="00F0212E">
      <w:pPr>
        <w:pStyle w:val="Recuodecorpodetexto"/>
        <w:spacing w:before="120"/>
        <w:ind w:left="0" w:firstLine="708"/>
        <w:rPr>
          <w:bCs/>
          <w:iCs/>
          <w:color w:val="000000"/>
          <w:sz w:val="24"/>
          <w:szCs w:val="24"/>
        </w:rPr>
      </w:pPr>
      <w:r w:rsidRPr="00454029">
        <w:rPr>
          <w:bCs/>
          <w:iCs/>
          <w:color w:val="000000"/>
          <w:sz w:val="24"/>
          <w:szCs w:val="24"/>
        </w:rPr>
        <w:t>II – Remanejamento – deslocamento de créditos e dotações relativos à extinção, desdobramento ou incorporação de unidades orçamentárias à nova unidade ou, ainda, de créditos ou valores de dotações de relativas a servidores que alteram a lotação durante o exercício;</w:t>
      </w:r>
    </w:p>
    <w:p w:rsidR="00F0212E" w:rsidRPr="00454029" w:rsidRDefault="00F0212E" w:rsidP="00F0212E">
      <w:pPr>
        <w:pStyle w:val="Recuodecorpodetexto"/>
        <w:spacing w:before="120"/>
        <w:ind w:left="0" w:firstLine="708"/>
        <w:rPr>
          <w:bCs/>
          <w:iCs/>
          <w:color w:val="000000"/>
          <w:sz w:val="24"/>
          <w:szCs w:val="24"/>
        </w:rPr>
      </w:pPr>
      <w:r w:rsidRPr="00454029">
        <w:rPr>
          <w:bCs/>
          <w:iCs/>
          <w:color w:val="000000"/>
          <w:sz w:val="24"/>
          <w:szCs w:val="24"/>
        </w:rPr>
        <w:t>III –Transferência – deslocamento permitido de dotações de um mesmo programa de governo.</w:t>
      </w:r>
    </w:p>
    <w:p w:rsidR="00F0212E" w:rsidRPr="00454029" w:rsidRDefault="00F0212E" w:rsidP="00F0212E">
      <w:pPr>
        <w:ind w:left="-120"/>
        <w:jc w:val="both"/>
        <w:rPr>
          <w:sz w:val="24"/>
          <w:szCs w:val="24"/>
        </w:rPr>
      </w:pPr>
    </w:p>
    <w:p w:rsidR="00F0212E" w:rsidRPr="00454029" w:rsidRDefault="00F0212E" w:rsidP="00F0212E">
      <w:pPr>
        <w:ind w:left="-120"/>
        <w:jc w:val="both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Art. 7º Esta Lei entra em vigor na data de sua publicação.</w:t>
      </w:r>
    </w:p>
    <w:p w:rsidR="00F0212E" w:rsidRPr="00454029" w:rsidRDefault="00F0212E" w:rsidP="00F0212E">
      <w:pPr>
        <w:ind w:left="-120"/>
        <w:jc w:val="both"/>
        <w:rPr>
          <w:sz w:val="24"/>
          <w:szCs w:val="24"/>
        </w:rPr>
      </w:pPr>
    </w:p>
    <w:p w:rsidR="00F0212E" w:rsidRPr="00454029" w:rsidRDefault="00F0212E" w:rsidP="00F0212E">
      <w:pPr>
        <w:ind w:left="-120"/>
        <w:jc w:val="both"/>
        <w:rPr>
          <w:sz w:val="24"/>
          <w:szCs w:val="24"/>
        </w:rPr>
      </w:pPr>
    </w:p>
    <w:p w:rsidR="00F0212E" w:rsidRPr="00454029" w:rsidRDefault="00F0212E" w:rsidP="00F0212E">
      <w:pPr>
        <w:jc w:val="both"/>
        <w:rPr>
          <w:sz w:val="24"/>
          <w:szCs w:val="24"/>
        </w:rPr>
      </w:pPr>
    </w:p>
    <w:p w:rsidR="00F0212E" w:rsidRPr="00454029" w:rsidRDefault="00F0212E" w:rsidP="00F0212E">
      <w:pPr>
        <w:jc w:val="both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SERTÃO SANTANA, em 15 de dezembro de 2015.</w:t>
      </w:r>
    </w:p>
    <w:p w:rsidR="00F0212E" w:rsidRPr="00454029" w:rsidRDefault="00F0212E" w:rsidP="00F0212E">
      <w:pPr>
        <w:jc w:val="both"/>
        <w:rPr>
          <w:sz w:val="24"/>
          <w:szCs w:val="24"/>
        </w:rPr>
      </w:pPr>
    </w:p>
    <w:p w:rsidR="00F0212E" w:rsidRPr="00454029" w:rsidRDefault="00F0212E" w:rsidP="00F0212E">
      <w:pPr>
        <w:jc w:val="both"/>
        <w:rPr>
          <w:sz w:val="24"/>
          <w:szCs w:val="24"/>
        </w:rPr>
      </w:pPr>
    </w:p>
    <w:p w:rsidR="00F0212E" w:rsidRPr="00454029" w:rsidRDefault="00F0212E" w:rsidP="00F0212E">
      <w:pPr>
        <w:jc w:val="both"/>
        <w:rPr>
          <w:sz w:val="24"/>
          <w:szCs w:val="24"/>
        </w:rPr>
      </w:pP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                                                                             SERGIO TEIFKE</w:t>
      </w: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  <w:r w:rsidRPr="00454029">
        <w:rPr>
          <w:sz w:val="24"/>
          <w:szCs w:val="24"/>
        </w:rPr>
        <w:t xml:space="preserve">                                                                                            Prefeito Municipal</w:t>
      </w: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  <w:r w:rsidRPr="00454029">
        <w:rPr>
          <w:sz w:val="24"/>
          <w:szCs w:val="24"/>
        </w:rPr>
        <w:t>Registre-se e Publique-se</w:t>
      </w: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  <w:r w:rsidRPr="00454029">
        <w:rPr>
          <w:sz w:val="24"/>
          <w:szCs w:val="24"/>
        </w:rPr>
        <w:t>Nelson Ricardo Storck</w:t>
      </w:r>
    </w:p>
    <w:p w:rsidR="00F0212E" w:rsidRPr="00454029" w:rsidRDefault="00F0212E" w:rsidP="00F0212E">
      <w:pPr>
        <w:pStyle w:val="Recuodecorpodetexto"/>
        <w:ind w:left="0"/>
        <w:rPr>
          <w:sz w:val="24"/>
          <w:szCs w:val="24"/>
        </w:rPr>
      </w:pPr>
      <w:r w:rsidRPr="00454029">
        <w:rPr>
          <w:sz w:val="24"/>
          <w:szCs w:val="24"/>
        </w:rPr>
        <w:t>Secretário de Administração</w:t>
      </w:r>
    </w:p>
    <w:p w:rsidR="00254E08" w:rsidRPr="00BB4B78" w:rsidRDefault="00254E08" w:rsidP="00BB4B78">
      <w:pPr>
        <w:rPr>
          <w:rFonts w:ascii="Bookman Old Style" w:hAnsi="Bookman Old Style"/>
          <w:sz w:val="28"/>
          <w:szCs w:val="28"/>
        </w:rPr>
      </w:pPr>
    </w:p>
    <w:sectPr w:rsidR="00254E08" w:rsidRPr="00BB4B78" w:rsidSect="00E11F21">
      <w:pgSz w:w="11907" w:h="16840" w:code="9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CEE" w:rsidRDefault="00657CEE" w:rsidP="00BB4B78">
      <w:r>
        <w:separator/>
      </w:r>
    </w:p>
  </w:endnote>
  <w:endnote w:type="continuationSeparator" w:id="1">
    <w:p w:rsidR="00657CEE" w:rsidRDefault="00657CEE" w:rsidP="00BB4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CEE" w:rsidRDefault="00657CEE" w:rsidP="00BB4B78">
      <w:r>
        <w:separator/>
      </w:r>
    </w:p>
  </w:footnote>
  <w:footnote w:type="continuationSeparator" w:id="1">
    <w:p w:rsidR="00657CEE" w:rsidRDefault="00657CEE" w:rsidP="00BB4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84F8F"/>
    <w:multiLevelType w:val="hybridMultilevel"/>
    <w:tmpl w:val="59988F90"/>
    <w:lvl w:ilvl="0" w:tplc="E0105BC8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8" w:hanging="360"/>
      </w:pPr>
    </w:lvl>
    <w:lvl w:ilvl="2" w:tplc="0416001B" w:tentative="1">
      <w:start w:val="1"/>
      <w:numFmt w:val="lowerRoman"/>
      <w:lvlText w:val="%3."/>
      <w:lvlJc w:val="right"/>
      <w:pPr>
        <w:ind w:left="2928" w:hanging="180"/>
      </w:pPr>
    </w:lvl>
    <w:lvl w:ilvl="3" w:tplc="0416000F" w:tentative="1">
      <w:start w:val="1"/>
      <w:numFmt w:val="decimal"/>
      <w:lvlText w:val="%4."/>
      <w:lvlJc w:val="left"/>
      <w:pPr>
        <w:ind w:left="3648" w:hanging="360"/>
      </w:pPr>
    </w:lvl>
    <w:lvl w:ilvl="4" w:tplc="04160019" w:tentative="1">
      <w:start w:val="1"/>
      <w:numFmt w:val="lowerLetter"/>
      <w:lvlText w:val="%5."/>
      <w:lvlJc w:val="left"/>
      <w:pPr>
        <w:ind w:left="4368" w:hanging="360"/>
      </w:pPr>
    </w:lvl>
    <w:lvl w:ilvl="5" w:tplc="0416001B" w:tentative="1">
      <w:start w:val="1"/>
      <w:numFmt w:val="lowerRoman"/>
      <w:lvlText w:val="%6."/>
      <w:lvlJc w:val="right"/>
      <w:pPr>
        <w:ind w:left="5088" w:hanging="180"/>
      </w:pPr>
    </w:lvl>
    <w:lvl w:ilvl="6" w:tplc="0416000F" w:tentative="1">
      <w:start w:val="1"/>
      <w:numFmt w:val="decimal"/>
      <w:lvlText w:val="%7."/>
      <w:lvlJc w:val="left"/>
      <w:pPr>
        <w:ind w:left="5808" w:hanging="360"/>
      </w:pPr>
    </w:lvl>
    <w:lvl w:ilvl="7" w:tplc="04160019" w:tentative="1">
      <w:start w:val="1"/>
      <w:numFmt w:val="lowerLetter"/>
      <w:lvlText w:val="%8."/>
      <w:lvlJc w:val="left"/>
      <w:pPr>
        <w:ind w:left="6528" w:hanging="360"/>
      </w:pPr>
    </w:lvl>
    <w:lvl w:ilvl="8" w:tplc="0416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">
    <w:nsid w:val="5EE00850"/>
    <w:multiLevelType w:val="hybridMultilevel"/>
    <w:tmpl w:val="CA2EC0D0"/>
    <w:lvl w:ilvl="0" w:tplc="83643AAC">
      <w:start w:val="1"/>
      <w:numFmt w:val="upperRoman"/>
      <w:lvlText w:val="%1-"/>
      <w:lvlJc w:val="left"/>
      <w:pPr>
        <w:ind w:left="1653" w:hanging="94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5F946CA"/>
    <w:multiLevelType w:val="hybridMultilevel"/>
    <w:tmpl w:val="51C80046"/>
    <w:lvl w:ilvl="0" w:tplc="9926E3DE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7CEE"/>
    <w:rsid w:val="000201FE"/>
    <w:rsid w:val="00064A09"/>
    <w:rsid w:val="001A11F9"/>
    <w:rsid w:val="00254E08"/>
    <w:rsid w:val="003D446E"/>
    <w:rsid w:val="004311EF"/>
    <w:rsid w:val="00434C9A"/>
    <w:rsid w:val="005350E4"/>
    <w:rsid w:val="00657CEE"/>
    <w:rsid w:val="008E29E6"/>
    <w:rsid w:val="008E3223"/>
    <w:rsid w:val="008E5F0F"/>
    <w:rsid w:val="009E2A68"/>
    <w:rsid w:val="00BB4B78"/>
    <w:rsid w:val="00E11F21"/>
    <w:rsid w:val="00EF3F21"/>
    <w:rsid w:val="00F0212E"/>
    <w:rsid w:val="00F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2E"/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line="360" w:lineRule="auto"/>
      <w:outlineLvl w:val="0"/>
    </w:pPr>
    <w:rPr>
      <w:rFonts w:asciiTheme="majorHAnsi" w:eastAsiaTheme="majorEastAsia" w:hAnsiTheme="majorHAnsi" w:cstheme="majorBidi"/>
      <w:bCs/>
      <w:caps/>
      <w:szCs w:val="28"/>
    </w:rPr>
  </w:style>
  <w:style w:type="paragraph" w:styleId="Ttulo2">
    <w:name w:val="heading 2"/>
    <w:basedOn w:val="Normal"/>
    <w:next w:val="Normal"/>
    <w:link w:val="Ttulo2Char"/>
    <w:qFormat/>
    <w:rsid w:val="000201FE"/>
    <w:pPr>
      <w:keepNext/>
      <w:autoSpaceDE w:val="0"/>
      <w:autoSpaceDN w:val="0"/>
      <w:adjustRightInd w:val="0"/>
      <w:outlineLvl w:val="1"/>
    </w:pPr>
    <w:rPr>
      <w:rFonts w:ascii="Calibri,Bold" w:hAnsi="Calibri,Bold"/>
      <w:b/>
      <w:bCs/>
      <w:color w:val="002060"/>
      <w:sz w:val="36"/>
      <w:szCs w:val="88"/>
    </w:rPr>
  </w:style>
  <w:style w:type="paragraph" w:styleId="Ttulo3">
    <w:name w:val="heading 3"/>
    <w:basedOn w:val="Normal"/>
    <w:next w:val="Normal"/>
    <w:link w:val="Ttulo3Char"/>
    <w:qFormat/>
    <w:rsid w:val="000201FE"/>
    <w:pPr>
      <w:keepNext/>
      <w:autoSpaceDE w:val="0"/>
      <w:autoSpaceDN w:val="0"/>
      <w:adjustRightInd w:val="0"/>
      <w:outlineLvl w:val="2"/>
    </w:pPr>
    <w:rPr>
      <w:rFonts w:ascii="Tahoma" w:hAnsi="Tahoma" w:cs="Tahoma"/>
      <w:color w:val="002060"/>
      <w:sz w:val="28"/>
      <w:szCs w:val="5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B4B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ind w:left="708"/>
    </w:p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Corpodetexto">
    <w:name w:val="Body Text"/>
    <w:basedOn w:val="Normal"/>
    <w:link w:val="CorpodetextoChar"/>
    <w:uiPriority w:val="99"/>
    <w:rsid w:val="00F0212E"/>
    <w:pPr>
      <w:widowControl w:val="0"/>
      <w:jc w:val="both"/>
    </w:pPr>
    <w:rPr>
      <w:snapToGrid w:val="0"/>
    </w:rPr>
  </w:style>
  <w:style w:type="character" w:customStyle="1" w:styleId="CorpodetextoChar">
    <w:name w:val="Corpo de texto Char"/>
    <w:basedOn w:val="Fontepargpadro"/>
    <w:link w:val="Corpodetexto"/>
    <w:uiPriority w:val="99"/>
    <w:rsid w:val="00F0212E"/>
    <w:rPr>
      <w:snapToGrid w:val="0"/>
    </w:rPr>
  </w:style>
  <w:style w:type="paragraph" w:styleId="Recuodecorpodetexto2">
    <w:name w:val="Body Text Indent 2"/>
    <w:basedOn w:val="Normal"/>
    <w:link w:val="Recuodecorpodetexto2Char"/>
    <w:rsid w:val="00F0212E"/>
    <w:pPr>
      <w:ind w:left="486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F0212E"/>
  </w:style>
  <w:style w:type="paragraph" w:styleId="Ttulo">
    <w:name w:val="Title"/>
    <w:basedOn w:val="Normal"/>
    <w:link w:val="TtuloChar"/>
    <w:qFormat/>
    <w:rsid w:val="00F0212E"/>
    <w:pPr>
      <w:jc w:val="center"/>
    </w:pPr>
    <w:rPr>
      <w:rFonts w:ascii="Bookman Old Style" w:hAnsi="Bookman Old Style"/>
      <w:b/>
      <w:sz w:val="28"/>
    </w:rPr>
  </w:style>
  <w:style w:type="character" w:customStyle="1" w:styleId="TtuloChar">
    <w:name w:val="Título Char"/>
    <w:basedOn w:val="Fontepargpadro"/>
    <w:link w:val="Ttulo"/>
    <w:rsid w:val="00F0212E"/>
    <w:rPr>
      <w:rFonts w:ascii="Bookman Old Style" w:hAnsi="Bookman Old Style"/>
      <w:b/>
      <w:sz w:val="28"/>
    </w:rPr>
  </w:style>
  <w:style w:type="paragraph" w:styleId="Recuodecorpodetexto">
    <w:name w:val="Body Text Indent"/>
    <w:basedOn w:val="Normal"/>
    <w:link w:val="RecuodecorpodetextoChar"/>
    <w:rsid w:val="00F0212E"/>
    <w:pPr>
      <w:ind w:left="496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F021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922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1</cp:revision>
  <dcterms:created xsi:type="dcterms:W3CDTF">2016-01-04T16:55:00Z</dcterms:created>
  <dcterms:modified xsi:type="dcterms:W3CDTF">2016-01-04T16:57:00Z</dcterms:modified>
</cp:coreProperties>
</file>